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spacing w:line="720" w:lineRule="auto"/>
        <w:jc w:val="center"/>
        <w:rPr>
          <w:rFonts w:hint="eastAsia" w:ascii="仿宋" w:hAnsi="仿宋" w:eastAsia="仿宋"/>
          <w:b/>
          <w:sz w:val="36"/>
          <w:szCs w:val="36"/>
        </w:rPr>
      </w:pPr>
      <w:r>
        <w:rPr>
          <w:rFonts w:hint="eastAsia" w:ascii="仿宋" w:hAnsi="仿宋" w:eastAsia="仿宋"/>
          <w:b/>
          <w:sz w:val="36"/>
          <w:szCs w:val="36"/>
        </w:rPr>
        <w:drawing>
          <wp:anchor distT="0" distB="0" distL="114300" distR="114300" simplePos="0" relativeHeight="251659264" behindDoc="1" locked="0" layoutInCell="1" allowOverlap="1">
            <wp:simplePos x="0" y="0"/>
            <wp:positionH relativeFrom="column">
              <wp:posOffset>2954020</wp:posOffset>
            </wp:positionH>
            <wp:positionV relativeFrom="paragraph">
              <wp:posOffset>120650</wp:posOffset>
            </wp:positionV>
            <wp:extent cx="2286000" cy="733425"/>
            <wp:effectExtent l="0" t="0" r="0" b="9525"/>
            <wp:wrapNone/>
            <wp:docPr id="1" name="图片 1" descr="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86000" cy="733425"/>
                    </a:xfrm>
                    <a:prstGeom prst="rect">
                      <a:avLst/>
                    </a:prstGeom>
                    <a:noFill/>
                    <a:ln>
                      <a:noFill/>
                    </a:ln>
                  </pic:spPr>
                </pic:pic>
              </a:graphicData>
            </a:graphic>
          </wp:anchor>
        </w:drawing>
      </w:r>
    </w:p>
    <w:p>
      <w:pPr>
        <w:spacing w:line="720" w:lineRule="auto"/>
        <w:jc w:val="center"/>
        <w:rPr>
          <w:rFonts w:hint="eastAsia" w:ascii="仿宋" w:hAnsi="仿宋" w:eastAsia="仿宋"/>
          <w:b/>
          <w:sz w:val="36"/>
          <w:szCs w:val="36"/>
        </w:rPr>
      </w:pPr>
    </w:p>
    <w:p>
      <w:pPr>
        <w:spacing w:line="720" w:lineRule="auto"/>
        <w:jc w:val="center"/>
        <w:rPr>
          <w:rFonts w:hint="eastAsia" w:ascii="仿宋" w:hAnsi="仿宋" w:eastAsia="仿宋"/>
          <w:b/>
          <w:sz w:val="36"/>
          <w:szCs w:val="36"/>
        </w:rPr>
      </w:pPr>
    </w:p>
    <w:p>
      <w:pPr>
        <w:spacing w:line="720" w:lineRule="auto"/>
        <w:jc w:val="center"/>
        <w:rPr>
          <w:rFonts w:hint="eastAsia" w:ascii="仿宋" w:hAnsi="仿宋" w:eastAsia="仿宋"/>
          <w:b/>
          <w:sz w:val="52"/>
          <w:szCs w:val="52"/>
        </w:rPr>
      </w:pPr>
      <w:r>
        <w:rPr>
          <w:rFonts w:hint="eastAsia" w:ascii="仿宋" w:hAnsi="仿宋" w:eastAsia="仿宋"/>
          <w:b/>
          <w:sz w:val="52"/>
          <w:szCs w:val="52"/>
          <w:u w:val="single"/>
        </w:rPr>
        <w:t>阜阳华润燃气有限公司市政中压燃气工程在阜口路定向穿越济广高速施工安全评估咨询服务项目</w:t>
      </w:r>
    </w:p>
    <w:p>
      <w:pPr>
        <w:spacing w:line="720" w:lineRule="auto"/>
        <w:jc w:val="center"/>
        <w:rPr>
          <w:rFonts w:hint="eastAsia" w:ascii="仿宋" w:hAnsi="仿宋" w:eastAsia="仿宋"/>
          <w:b/>
          <w:sz w:val="36"/>
          <w:szCs w:val="36"/>
        </w:rPr>
      </w:pPr>
    </w:p>
    <w:p>
      <w:pPr>
        <w:spacing w:line="720" w:lineRule="auto"/>
        <w:jc w:val="center"/>
        <w:rPr>
          <w:rFonts w:hint="eastAsia" w:ascii="仿宋" w:hAnsi="仿宋" w:eastAsia="仿宋"/>
          <w:b/>
          <w:sz w:val="52"/>
          <w:szCs w:val="52"/>
        </w:rPr>
      </w:pPr>
      <w:r>
        <w:rPr>
          <w:rFonts w:hint="eastAsia" w:ascii="仿宋" w:hAnsi="仿宋" w:eastAsia="仿宋"/>
          <w:b/>
          <w:sz w:val="52"/>
          <w:szCs w:val="52"/>
        </w:rPr>
        <w:t>询价文件</w:t>
      </w:r>
    </w:p>
    <w:p>
      <w:pPr>
        <w:spacing w:line="720" w:lineRule="auto"/>
        <w:jc w:val="center"/>
        <w:rPr>
          <w:rFonts w:hint="eastAsia" w:ascii="仿宋" w:hAnsi="仿宋" w:eastAsia="仿宋"/>
          <w:b/>
          <w:sz w:val="36"/>
          <w:szCs w:val="36"/>
        </w:rPr>
      </w:pPr>
    </w:p>
    <w:p>
      <w:pPr>
        <w:spacing w:line="720" w:lineRule="auto"/>
        <w:jc w:val="center"/>
        <w:rPr>
          <w:rFonts w:hint="eastAsia" w:ascii="仿宋" w:hAnsi="仿宋" w:eastAsia="仿宋"/>
          <w:b/>
          <w:sz w:val="28"/>
          <w:szCs w:val="36"/>
        </w:rPr>
      </w:pPr>
    </w:p>
    <w:p>
      <w:pPr>
        <w:spacing w:line="720" w:lineRule="auto"/>
        <w:jc w:val="center"/>
        <w:rPr>
          <w:rFonts w:hint="eastAsia" w:ascii="仿宋" w:hAnsi="仿宋" w:eastAsia="仿宋"/>
          <w:b/>
          <w:sz w:val="28"/>
          <w:szCs w:val="36"/>
        </w:rPr>
      </w:pPr>
    </w:p>
    <w:p>
      <w:pPr>
        <w:spacing w:line="720" w:lineRule="auto"/>
        <w:jc w:val="center"/>
        <w:rPr>
          <w:rFonts w:hint="eastAsia" w:ascii="仿宋" w:hAnsi="仿宋" w:eastAsia="仿宋"/>
          <w:b/>
          <w:sz w:val="28"/>
          <w:szCs w:val="36"/>
        </w:rPr>
      </w:pPr>
    </w:p>
    <w:p>
      <w:pPr>
        <w:spacing w:line="480" w:lineRule="auto"/>
        <w:jc w:val="center"/>
        <w:rPr>
          <w:rFonts w:hint="eastAsia" w:ascii="仿宋" w:hAnsi="仿宋" w:eastAsia="仿宋"/>
          <w:b/>
          <w:sz w:val="28"/>
          <w:szCs w:val="36"/>
          <w:highlight w:val="none"/>
        </w:rPr>
      </w:pPr>
      <w:r>
        <w:rPr>
          <w:rFonts w:hint="eastAsia" w:ascii="仿宋" w:hAnsi="仿宋" w:eastAsia="仿宋"/>
          <w:b/>
          <w:sz w:val="28"/>
          <w:szCs w:val="36"/>
          <w:highlight w:val="none"/>
        </w:rPr>
        <w:t>采购人：阜阳华润燃气有限公司</w:t>
      </w:r>
    </w:p>
    <w:p>
      <w:pPr>
        <w:jc w:val="center"/>
        <w:rPr>
          <w:rFonts w:hint="eastAsia" w:ascii="仿宋" w:hAnsi="仿宋" w:eastAsia="仿宋"/>
          <w:b/>
          <w:sz w:val="28"/>
          <w:szCs w:val="36"/>
          <w:highlight w:val="none"/>
          <w:u w:val="single"/>
        </w:rPr>
      </w:pPr>
      <w:r>
        <w:rPr>
          <w:rFonts w:hint="eastAsia" w:ascii="仿宋" w:hAnsi="仿宋" w:eastAsia="仿宋"/>
          <w:b/>
          <w:sz w:val="28"/>
          <w:szCs w:val="36"/>
          <w:highlight w:val="none"/>
        </w:rPr>
        <w:t>日期：</w:t>
      </w:r>
      <w:r>
        <w:rPr>
          <w:rFonts w:hint="eastAsia" w:ascii="仿宋" w:hAnsi="仿宋" w:eastAsia="仿宋"/>
          <w:b/>
          <w:sz w:val="28"/>
          <w:szCs w:val="36"/>
          <w:highlight w:val="none"/>
          <w:u w:val="single"/>
        </w:rPr>
        <w:t>2024年7月17日</w:t>
      </w:r>
    </w:p>
    <w:p>
      <w:pPr>
        <w:widowControl/>
        <w:jc w:val="left"/>
        <w:rPr>
          <w:highlight w:val="none"/>
        </w:rPr>
      </w:pPr>
      <w:r>
        <w:rPr>
          <w:highlight w:val="none"/>
        </w:rPr>
        <w:br w:type="page"/>
      </w:r>
    </w:p>
    <w:p>
      <w:pPr>
        <w:autoSpaceDE w:val="0"/>
        <w:autoSpaceDN w:val="0"/>
        <w:adjustRightInd w:val="0"/>
        <w:jc w:val="center"/>
        <w:rPr>
          <w:rFonts w:hint="eastAsia" w:ascii="仿宋" w:hAnsi="仿宋" w:eastAsia="仿宋" w:cs="华文中宋"/>
          <w:b/>
          <w:kern w:val="0"/>
          <w:sz w:val="32"/>
          <w:szCs w:val="32"/>
        </w:rPr>
      </w:pPr>
      <w:r>
        <w:rPr>
          <w:rFonts w:hint="eastAsia" w:ascii="仿宋" w:hAnsi="仿宋" w:eastAsia="仿宋" w:cs="华文中宋"/>
          <w:b/>
          <w:kern w:val="0"/>
          <w:sz w:val="32"/>
          <w:szCs w:val="32"/>
        </w:rPr>
        <w:t>阳光宣言</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一、不以向华润员工及其亲属提供任何个人利益的方式谋求与华润的合作关系。</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二、主动如实向华润通报是否与华润员工存在亲属关系，是否有华润离职员工担任重要岗位。</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三、不与华润员工就标底、其他单位的报价书等商业秘密及合同中的条款进行私下商谈或者达成默契。</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四、不与其它单位串通报价，不采取恶性竞争等不正当手段竞争业务。</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五、不向华润员工或其请托人、代理人提供好处费、回扣、现金及有价证券、支付凭证、贵重礼物。不向华润员工及其亲属提供可能影响其公正履行职务行为的宴请和娱乐、体育、休闲、旅游活动。</w:t>
      </w:r>
    </w:p>
    <w:p>
      <w:pPr>
        <w:autoSpaceDE w:val="0"/>
        <w:autoSpaceDN w:val="0"/>
        <w:adjustRightInd w:val="0"/>
        <w:spacing w:before="240" w:line="360" w:lineRule="auto"/>
        <w:rPr>
          <w:rFonts w:hint="eastAsia" w:ascii="仿宋" w:hAnsi="仿宋" w:eastAsia="仿宋" w:cstheme="minorBidi"/>
          <w:b/>
          <w:bCs/>
          <w:sz w:val="24"/>
        </w:rPr>
      </w:pPr>
      <w:r>
        <w:rPr>
          <w:rFonts w:hint="eastAsia" w:ascii="仿宋" w:hAnsi="仿宋" w:eastAsia="仿宋" w:cs="仿宋_GB2312"/>
          <w:kern w:val="0"/>
          <w:sz w:val="24"/>
        </w:rPr>
        <w:t>六、发现本单位人员有向华润员工行贿倾向、建议或行为的，应予以制止、批评教育；发现华润员工有索贿、受贿行为的，应坚决拒绝，并向华润相关领导或纪检、审计监察部门举报。</w:t>
      </w:r>
    </w:p>
    <w:p>
      <w:pPr>
        <w:widowControl/>
        <w:jc w:val="left"/>
        <w:rPr>
          <w:rFonts w:hint="eastAsia" w:ascii="仿宋" w:hAnsi="仿宋" w:eastAsia="仿宋" w:cstheme="minorBidi"/>
          <w:b/>
          <w:bCs/>
          <w:sz w:val="52"/>
          <w:szCs w:val="22"/>
        </w:rPr>
      </w:pPr>
      <w:r>
        <w:rPr>
          <w:rFonts w:ascii="仿宋" w:hAnsi="仿宋" w:eastAsia="仿宋" w:cstheme="minorBidi"/>
          <w:b/>
          <w:bCs/>
          <w:sz w:val="52"/>
          <w:szCs w:val="22"/>
        </w:rPr>
        <w:br w:type="page"/>
      </w:r>
    </w:p>
    <w:p>
      <w:pPr>
        <w:autoSpaceDE w:val="0"/>
        <w:autoSpaceDN w:val="0"/>
        <w:adjustRightInd w:val="0"/>
        <w:jc w:val="center"/>
        <w:rPr>
          <w:rFonts w:hint="eastAsia" w:ascii="仿宋" w:hAnsi="仿宋" w:eastAsia="仿宋" w:cs="华文中宋"/>
          <w:b/>
          <w:kern w:val="0"/>
          <w:sz w:val="32"/>
          <w:szCs w:val="32"/>
        </w:rPr>
      </w:pPr>
      <w:r>
        <w:rPr>
          <w:rFonts w:hint="eastAsia" w:ascii="仿宋" w:hAnsi="仿宋" w:eastAsia="仿宋" w:cs="华文中宋"/>
          <w:b/>
          <w:kern w:val="0"/>
          <w:sz w:val="32"/>
          <w:szCs w:val="32"/>
        </w:rPr>
        <w:t>廉洁从业准则</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一、不得在采购过程中为个人及其亲属谋取私利。</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二、不得向响应单位泄露标底、其它响应单位报价等商业秘密及合同中的质量、价格等条款。</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三、不得收受响应单位的好处费、回扣、现金及有价证券、支付凭证、贵重礼物等。</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四、不得接收响应单位的宴请和娱乐、体育、休闲、旅游活动等。</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五、不得在响应单位报销任何费用。</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六、不得接收响应单位任何名义的住房、交通工具、通讯工具、家电、高档办公用品等物品。</w:t>
      </w:r>
    </w:p>
    <w:p>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七、不得接收响应单位的家庭装修、婚丧嫁娶、工作安排、出国、留学等资金或物资资助。</w:t>
      </w:r>
    </w:p>
    <w:p>
      <w:pPr>
        <w:widowControl/>
      </w:pPr>
      <w:r>
        <w:rPr>
          <w:rFonts w:hint="eastAsia" w:ascii="仿宋" w:hAnsi="仿宋" w:eastAsia="仿宋" w:cs="仿宋_GB2312"/>
          <w:kern w:val="0"/>
          <w:sz w:val="24"/>
        </w:rPr>
        <w:t>八、采购工作人员如有亲属在报价单位工作的，应在该项采购活动中予以回避。</w:t>
      </w:r>
    </w:p>
    <w:p>
      <w:pPr>
        <w:widowControl/>
        <w:jc w:val="left"/>
      </w:pPr>
      <w:r>
        <w:br w:type="page"/>
      </w:r>
    </w:p>
    <w:p>
      <w:pPr>
        <w:widowControl/>
        <w:jc w:val="left"/>
      </w:pPr>
    </w:p>
    <w:p>
      <w:pPr>
        <w:widowControl/>
        <w:spacing w:before="312" w:beforeLines="100" w:after="312" w:afterLines="100" w:line="360" w:lineRule="auto"/>
        <w:jc w:val="center"/>
        <w:rPr>
          <w:rFonts w:hint="eastAsia" w:ascii="仿宋" w:hAnsi="仿宋" w:eastAsia="仿宋"/>
          <w:b/>
          <w:sz w:val="28"/>
        </w:rPr>
      </w:pPr>
      <w:r>
        <w:rPr>
          <w:rFonts w:hint="eastAsia" w:ascii="仿宋" w:hAnsi="仿宋" w:eastAsia="仿宋"/>
          <w:b/>
          <w:sz w:val="28"/>
        </w:rPr>
        <w:t>一、询价单</w:t>
      </w:r>
    </w:p>
    <w:p>
      <w:pPr>
        <w:spacing w:line="360" w:lineRule="auto"/>
        <w:ind w:firstLine="480" w:firstLineChars="200"/>
        <w:rPr>
          <w:rFonts w:hint="eastAsia" w:ascii="仿宋" w:hAnsi="仿宋" w:eastAsia="仿宋"/>
          <w:sz w:val="24"/>
        </w:rPr>
      </w:pPr>
      <w:r>
        <w:rPr>
          <w:rFonts w:hint="eastAsia" w:ascii="仿宋" w:hAnsi="仿宋" w:eastAsia="仿宋"/>
          <w:sz w:val="24"/>
        </w:rPr>
        <w:t>阜阳华润燃气有限公司市政中压燃气工程在阜口路定向穿越济广高速施工安全评估咨询服务项目已具备采购条件，现组织开展本次采购活动</w:t>
      </w:r>
      <w:bookmarkStart w:id="0" w:name="_Hlk122297139"/>
      <w:r>
        <w:rPr>
          <w:rFonts w:hint="eastAsia" w:ascii="仿宋" w:hAnsi="仿宋" w:eastAsia="仿宋"/>
          <w:sz w:val="24"/>
        </w:rPr>
        <w:t>，具体需求见采购需求及报价一览表，请贵单位在报价截止时间前及时递交盖章、签字版资格证明文件扫描件及盖章、签字版报价一览表扫描件。</w:t>
      </w:r>
    </w:p>
    <w:p>
      <w:pPr>
        <w:spacing w:line="360" w:lineRule="auto"/>
        <w:jc w:val="left"/>
        <w:rPr>
          <w:rFonts w:hint="eastAsia" w:ascii="仿宋" w:hAnsi="仿宋" w:eastAsia="仿宋"/>
          <w:sz w:val="24"/>
        </w:rPr>
      </w:pPr>
      <w:r>
        <w:rPr>
          <w:rFonts w:hint="eastAsia" w:ascii="仿宋" w:hAnsi="仿宋" w:eastAsia="仿宋"/>
          <w:sz w:val="24"/>
        </w:rPr>
        <w:t>一、采购需求</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阜阳华润燃气有限公司市政中压燃气工程在阜口路定向穿越济广高速施工安全评估咨询服务。</w:t>
      </w:r>
    </w:p>
    <w:p>
      <w:pPr>
        <w:spacing w:line="360" w:lineRule="auto"/>
        <w:jc w:val="left"/>
        <w:rPr>
          <w:rFonts w:hint="eastAsia" w:ascii="仿宋" w:hAnsi="仿宋" w:eastAsia="仿宋"/>
          <w:sz w:val="24"/>
        </w:rPr>
      </w:pPr>
      <w:r>
        <w:rPr>
          <w:rFonts w:hint="eastAsia" w:ascii="仿宋" w:hAnsi="仿宋" w:eastAsia="仿宋"/>
          <w:sz w:val="24"/>
        </w:rPr>
        <w:t>二、报价一览表</w:t>
      </w:r>
    </w:p>
    <w:tbl>
      <w:tblPr>
        <w:tblStyle w:val="5"/>
        <w:tblW w:w="10060" w:type="dxa"/>
        <w:jc w:val="center"/>
        <w:tblLayout w:type="fixed"/>
        <w:tblCellMar>
          <w:top w:w="0" w:type="dxa"/>
          <w:left w:w="108" w:type="dxa"/>
          <w:bottom w:w="0" w:type="dxa"/>
          <w:right w:w="108" w:type="dxa"/>
        </w:tblCellMar>
      </w:tblPr>
      <w:tblGrid>
        <w:gridCol w:w="704"/>
        <w:gridCol w:w="2126"/>
        <w:gridCol w:w="993"/>
        <w:gridCol w:w="2126"/>
        <w:gridCol w:w="1279"/>
        <w:gridCol w:w="2832"/>
      </w:tblGrid>
      <w:tr>
        <w:tblPrEx>
          <w:tblCellMar>
            <w:top w:w="0" w:type="dxa"/>
            <w:left w:w="108" w:type="dxa"/>
            <w:bottom w:w="0" w:type="dxa"/>
            <w:right w:w="108" w:type="dxa"/>
          </w:tblCellMar>
        </w:tblPrEx>
        <w:trPr>
          <w:trHeight w:val="84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bookmarkStart w:id="1" w:name="_Hlk137967928"/>
            <w:r>
              <w:rPr>
                <w:rFonts w:hint="eastAsia" w:ascii="仿宋" w:hAnsi="仿宋" w:eastAsia="仿宋" w:cs="宋体"/>
                <w:kern w:val="0"/>
                <w:sz w:val="24"/>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项目</w:t>
            </w:r>
          </w:p>
          <w:p>
            <w:pPr>
              <w:widowControl/>
              <w:jc w:val="center"/>
              <w:rPr>
                <w:rFonts w:hint="eastAsia" w:ascii="仿宋" w:hAnsi="仿宋" w:eastAsia="仿宋" w:cs="宋体"/>
                <w:kern w:val="0"/>
                <w:sz w:val="24"/>
              </w:rPr>
            </w:pPr>
            <w:r>
              <w:rPr>
                <w:rFonts w:hint="eastAsia" w:ascii="仿宋" w:hAnsi="仿宋" w:eastAsia="仿宋" w:cs="宋体"/>
                <w:kern w:val="0"/>
                <w:sz w:val="24"/>
              </w:rPr>
              <w:t>名称</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工作内容</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单价含税（元）</w:t>
            </w:r>
          </w:p>
        </w:tc>
        <w:tc>
          <w:tcPr>
            <w:tcW w:w="28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备注</w:t>
            </w:r>
          </w:p>
        </w:tc>
      </w:tr>
      <w:tr>
        <w:tblPrEx>
          <w:tblCellMar>
            <w:top w:w="0" w:type="dxa"/>
            <w:left w:w="108" w:type="dxa"/>
            <w:bottom w:w="0" w:type="dxa"/>
            <w:right w:w="108" w:type="dxa"/>
          </w:tblCellMar>
        </w:tblPrEx>
        <w:trPr>
          <w:trHeight w:val="220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w:t>
            </w:r>
          </w:p>
        </w:tc>
        <w:tc>
          <w:tcPr>
            <w:tcW w:w="2126" w:type="dxa"/>
            <w:tcBorders>
              <w:top w:val="single" w:color="auto" w:sz="4" w:space="0"/>
              <w:left w:val="nil"/>
              <w:right w:val="single" w:color="auto" w:sz="4" w:space="0"/>
            </w:tcBorders>
            <w:shd w:val="clear" w:color="auto" w:fill="auto"/>
            <w:noWrap/>
            <w:vAlign w:val="center"/>
          </w:tcPr>
          <w:p>
            <w:pPr>
              <w:jc w:val="left"/>
              <w:rPr>
                <w:rFonts w:hint="eastAsia" w:ascii="仿宋" w:hAnsi="仿宋" w:eastAsia="仿宋" w:cs="宋体"/>
                <w:kern w:val="0"/>
                <w:sz w:val="24"/>
              </w:rPr>
            </w:pPr>
            <w:r>
              <w:rPr>
                <w:rFonts w:hint="eastAsia" w:ascii="仿宋" w:hAnsi="仿宋" w:eastAsia="仿宋" w:cs="宋体"/>
                <w:kern w:val="0"/>
                <w:sz w:val="24"/>
              </w:rPr>
              <w:t>市政中压燃气工程在阜口路定向穿越济广高速施工安全评估咨询服务。</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宋体"/>
                <w:kern w:val="0"/>
                <w:sz w:val="24"/>
              </w:rPr>
            </w:pPr>
            <w:r>
              <w:rPr>
                <w:rFonts w:hint="eastAsia" w:ascii="仿宋" w:hAnsi="仿宋" w:eastAsia="仿宋" w:cs="宋体"/>
                <w:kern w:val="0"/>
                <w:sz w:val="24"/>
              </w:rPr>
              <w:t>协助业主通过专家评审并获取路政许可，并提供评价服务过程中所需的相关数据（包含但不限于地勘、物探、测绘等）</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p>
        </w:tc>
        <w:tc>
          <w:tcPr>
            <w:tcW w:w="28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服务要求</w:t>
            </w:r>
          </w:p>
          <w:p>
            <w:pPr>
              <w:widowControl/>
              <w:jc w:val="left"/>
              <w:rPr>
                <w:rFonts w:hint="eastAsia" w:ascii="仿宋" w:hAnsi="仿宋" w:eastAsia="仿宋" w:cs="宋体"/>
                <w:kern w:val="0"/>
                <w:sz w:val="24"/>
              </w:rPr>
            </w:pPr>
            <w:r>
              <w:rPr>
                <w:rFonts w:hint="eastAsia" w:ascii="仿宋" w:hAnsi="仿宋" w:eastAsia="仿宋" w:cs="宋体"/>
                <w:kern w:val="0"/>
                <w:sz w:val="24"/>
              </w:rPr>
              <w:t>1、按业主方要求，进行现场勘查；</w:t>
            </w:r>
          </w:p>
          <w:p>
            <w:pPr>
              <w:widowControl/>
              <w:jc w:val="left"/>
              <w:rPr>
                <w:rFonts w:hint="eastAsia" w:ascii="仿宋" w:hAnsi="仿宋" w:eastAsia="仿宋" w:cs="宋体"/>
                <w:kern w:val="0"/>
                <w:sz w:val="24"/>
              </w:rPr>
            </w:pPr>
            <w:r>
              <w:rPr>
                <w:rFonts w:hint="eastAsia" w:ascii="仿宋" w:hAnsi="仿宋" w:eastAsia="仿宋" w:cs="宋体"/>
                <w:kern w:val="0"/>
                <w:sz w:val="24"/>
              </w:rPr>
              <w:t>2、完成该项目相关手续办理，积极参与该项目相关工作；</w:t>
            </w:r>
          </w:p>
          <w:p>
            <w:pPr>
              <w:widowControl/>
              <w:jc w:val="left"/>
              <w:rPr>
                <w:rFonts w:hint="eastAsia" w:ascii="仿宋" w:hAnsi="仿宋" w:eastAsia="仿宋" w:cs="宋体"/>
                <w:kern w:val="0"/>
                <w:sz w:val="24"/>
              </w:rPr>
            </w:pPr>
            <w:r>
              <w:rPr>
                <w:rFonts w:hint="eastAsia" w:ascii="仿宋" w:hAnsi="仿宋" w:eastAsia="仿宋" w:cs="宋体"/>
                <w:kern w:val="0"/>
                <w:sz w:val="24"/>
              </w:rPr>
              <w:t>3、其他技术咨询服务要求。</w:t>
            </w:r>
          </w:p>
        </w:tc>
      </w:tr>
      <w:tr>
        <w:tblPrEx>
          <w:tblCellMar>
            <w:top w:w="0" w:type="dxa"/>
            <w:left w:w="108" w:type="dxa"/>
            <w:bottom w:w="0" w:type="dxa"/>
            <w:right w:w="108" w:type="dxa"/>
          </w:tblCellMar>
        </w:tblPrEx>
        <w:trPr>
          <w:trHeight w:val="468" w:hRule="atLeast"/>
          <w:jc w:val="center"/>
        </w:trPr>
        <w:tc>
          <w:tcPr>
            <w:tcW w:w="38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增值税税率</w:t>
            </w:r>
          </w:p>
        </w:tc>
        <w:tc>
          <w:tcPr>
            <w:tcW w:w="623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rPr>
            </w:pPr>
          </w:p>
        </w:tc>
      </w:tr>
      <w:tr>
        <w:tblPrEx>
          <w:tblCellMar>
            <w:top w:w="0" w:type="dxa"/>
            <w:left w:w="108" w:type="dxa"/>
            <w:bottom w:w="0" w:type="dxa"/>
            <w:right w:w="108" w:type="dxa"/>
          </w:tblCellMar>
        </w:tblPrEx>
        <w:trPr>
          <w:trHeight w:val="443" w:hRule="atLeast"/>
          <w:jc w:val="center"/>
        </w:trPr>
        <w:tc>
          <w:tcPr>
            <w:tcW w:w="38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含税合计金额</w:t>
            </w:r>
          </w:p>
        </w:tc>
        <w:tc>
          <w:tcPr>
            <w:tcW w:w="623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rPr>
            </w:pPr>
          </w:p>
        </w:tc>
      </w:tr>
      <w:tr>
        <w:tblPrEx>
          <w:tblCellMar>
            <w:top w:w="0" w:type="dxa"/>
            <w:left w:w="108" w:type="dxa"/>
            <w:bottom w:w="0" w:type="dxa"/>
            <w:right w:w="108" w:type="dxa"/>
          </w:tblCellMar>
        </w:tblPrEx>
        <w:trPr>
          <w:trHeight w:val="443" w:hRule="atLeast"/>
          <w:jc w:val="center"/>
        </w:trPr>
        <w:tc>
          <w:tcPr>
            <w:tcW w:w="1006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仿宋" w:hAnsi="仿宋" w:eastAsia="仿宋" w:cs="宋体"/>
                <w:kern w:val="0"/>
                <w:sz w:val="24"/>
              </w:rPr>
            </w:pPr>
            <w:r>
              <w:rPr>
                <w:rFonts w:hint="eastAsia" w:ascii="仿宋" w:hAnsi="仿宋" w:eastAsia="仿宋" w:cs="宋体"/>
                <w:kern w:val="0"/>
                <w:sz w:val="24"/>
              </w:rPr>
              <w:t>备注：</w:t>
            </w:r>
          </w:p>
          <w:p>
            <w:pPr>
              <w:widowControl/>
              <w:rPr>
                <w:rFonts w:hint="eastAsia" w:ascii="仿宋" w:hAnsi="仿宋" w:eastAsia="仿宋" w:cs="宋体"/>
                <w:kern w:val="0"/>
                <w:sz w:val="24"/>
              </w:rPr>
            </w:pPr>
            <w:r>
              <w:rPr>
                <w:rFonts w:hint="eastAsia" w:ascii="仿宋" w:hAnsi="仿宋" w:eastAsia="仿宋" w:cs="宋体"/>
                <w:kern w:val="0"/>
                <w:sz w:val="24"/>
              </w:rPr>
              <w:t>1.该报价包含增值税专用发票（税率</w:t>
            </w:r>
            <w:r>
              <w:rPr>
                <w:rFonts w:hint="eastAsia" w:ascii="仿宋" w:hAnsi="仿宋" w:eastAsia="仿宋" w:cs="宋体"/>
                <w:kern w:val="0"/>
                <w:sz w:val="24"/>
                <w:highlight w:val="yellow"/>
              </w:rPr>
              <w:t>6%</w:t>
            </w:r>
            <w:r>
              <w:rPr>
                <w:rFonts w:hint="eastAsia" w:ascii="仿宋" w:hAnsi="仿宋" w:eastAsia="仿宋" w:cs="宋体"/>
                <w:kern w:val="0"/>
                <w:sz w:val="24"/>
              </w:rPr>
              <w:t>）、售后服务等所有附加服务费用。</w:t>
            </w:r>
          </w:p>
          <w:p>
            <w:pPr>
              <w:widowControl/>
              <w:rPr>
                <w:rFonts w:hint="eastAsia"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评审方法：最低价评审法</w:t>
            </w:r>
          </w:p>
          <w:p>
            <w:pPr>
              <w:widowControl/>
              <w:rPr>
                <w:rFonts w:hint="eastAsia" w:ascii="仿宋" w:hAnsi="仿宋" w:eastAsia="仿宋" w:cs="宋体"/>
                <w:kern w:val="0"/>
                <w:sz w:val="24"/>
              </w:rPr>
            </w:pPr>
          </w:p>
        </w:tc>
      </w:tr>
      <w:bookmarkEnd w:id="1"/>
    </w:tbl>
    <w:p>
      <w:pPr>
        <w:spacing w:line="360" w:lineRule="auto"/>
        <w:rPr>
          <w:rFonts w:hint="eastAsia" w:ascii="仿宋" w:hAnsi="仿宋" w:eastAsia="仿宋"/>
          <w:sz w:val="24"/>
        </w:rPr>
      </w:pPr>
    </w:p>
    <w:p>
      <w:pPr>
        <w:widowControl/>
        <w:wordWrap w:val="0"/>
        <w:spacing w:line="360" w:lineRule="auto"/>
        <w:jc w:val="right"/>
        <w:rPr>
          <w:rFonts w:hint="eastAsia" w:ascii="仿宋" w:hAnsi="仿宋" w:eastAsia="仿宋"/>
          <w:sz w:val="24"/>
        </w:rPr>
      </w:pPr>
      <w:r>
        <w:rPr>
          <w:rFonts w:hint="eastAsia" w:ascii="仿宋" w:hAnsi="仿宋" w:eastAsia="仿宋"/>
          <w:sz w:val="24"/>
        </w:rPr>
        <w:t xml:space="preserve">响应单位（公章）： </w:t>
      </w:r>
      <w:r>
        <w:rPr>
          <w:rFonts w:ascii="仿宋" w:hAnsi="仿宋" w:eastAsia="仿宋"/>
          <w:sz w:val="24"/>
        </w:rPr>
        <w:t xml:space="preserve">       </w:t>
      </w:r>
    </w:p>
    <w:p>
      <w:pPr>
        <w:widowControl/>
        <w:spacing w:line="360" w:lineRule="auto"/>
        <w:jc w:val="right"/>
        <w:rPr>
          <w:rFonts w:hint="eastAsia" w:ascii="仿宋" w:hAnsi="仿宋" w:eastAsia="仿宋"/>
          <w:sz w:val="24"/>
        </w:rPr>
      </w:pPr>
    </w:p>
    <w:p>
      <w:pPr>
        <w:widowControl/>
        <w:wordWrap w:val="0"/>
        <w:spacing w:line="360" w:lineRule="auto"/>
        <w:jc w:val="right"/>
        <w:rPr>
          <w:rFonts w:hint="eastAsia" w:ascii="仿宋" w:hAnsi="仿宋" w:eastAsia="仿宋"/>
          <w:sz w:val="24"/>
        </w:rPr>
      </w:pPr>
      <w:r>
        <w:rPr>
          <w:rFonts w:hint="eastAsia" w:ascii="仿宋" w:hAnsi="仿宋" w:eastAsia="仿宋"/>
          <w:sz w:val="24"/>
        </w:rPr>
        <w:t>授权代表（签名）：</w:t>
      </w:r>
      <w:r>
        <w:rPr>
          <w:rFonts w:ascii="仿宋" w:hAnsi="仿宋" w:eastAsia="仿宋"/>
          <w:sz w:val="24"/>
        </w:rPr>
        <w:t xml:space="preserve">        </w:t>
      </w:r>
    </w:p>
    <w:p>
      <w:pPr>
        <w:widowControl/>
        <w:spacing w:line="360" w:lineRule="auto"/>
        <w:jc w:val="right"/>
        <w:rPr>
          <w:rFonts w:hint="eastAsia" w:ascii="仿宋" w:hAnsi="仿宋" w:eastAsia="仿宋"/>
          <w:sz w:val="24"/>
        </w:rPr>
      </w:pPr>
    </w:p>
    <w:p>
      <w:pPr>
        <w:widowControl/>
        <w:wordWrap w:val="0"/>
        <w:spacing w:line="360" w:lineRule="auto"/>
        <w:jc w:val="right"/>
        <w:rPr>
          <w:rFonts w:hint="eastAsia" w:ascii="仿宋" w:hAnsi="仿宋" w:eastAsia="仿宋"/>
          <w:sz w:val="24"/>
        </w:rPr>
      </w:pPr>
      <w:r>
        <w:rPr>
          <w:rFonts w:hint="eastAsia" w:ascii="仿宋" w:hAnsi="仿宋" w:eastAsia="仿宋"/>
          <w:sz w:val="24"/>
        </w:rPr>
        <w:t>日期：</w:t>
      </w:r>
      <w:r>
        <w:rPr>
          <w:rFonts w:ascii="仿宋" w:hAnsi="仿宋" w:eastAsia="仿宋"/>
          <w:sz w:val="24"/>
        </w:rPr>
        <w:t xml:space="preserve">         </w:t>
      </w:r>
    </w:p>
    <w:p>
      <w:pPr>
        <w:widowControl/>
        <w:spacing w:line="360" w:lineRule="auto"/>
        <w:jc w:val="left"/>
        <w:rPr>
          <w:rFonts w:hint="eastAsia" w:ascii="仿宋" w:hAnsi="仿宋" w:eastAsia="仿宋"/>
          <w:sz w:val="24"/>
        </w:rPr>
      </w:pPr>
      <w:r>
        <w:rPr>
          <w:rFonts w:hint="eastAsia" w:ascii="仿宋" w:hAnsi="仿宋" w:eastAsia="仿宋"/>
          <w:sz w:val="24"/>
        </w:rPr>
        <w:t>三、中标原则</w:t>
      </w:r>
    </w:p>
    <w:p>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最高限价18万元，报价形式总价报价，总价最低者中标</w:t>
      </w:r>
    </w:p>
    <w:p>
      <w:pPr>
        <w:widowControl/>
        <w:spacing w:line="360" w:lineRule="auto"/>
        <w:jc w:val="left"/>
        <w:rPr>
          <w:rFonts w:hint="eastAsia" w:ascii="仿宋" w:hAnsi="仿宋" w:eastAsia="仿宋"/>
          <w:sz w:val="24"/>
        </w:rPr>
      </w:pPr>
      <w:r>
        <w:rPr>
          <w:rFonts w:hint="eastAsia" w:ascii="仿宋" w:hAnsi="仿宋" w:eastAsia="仿宋"/>
          <w:sz w:val="24"/>
        </w:rPr>
        <w:t>四、报价文件密封递交</w:t>
      </w:r>
    </w:p>
    <w:p>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地址：安徽省阜阳市颍州区阜阳合肥现代产业园区翡翠湖路17号阜阳华润燃气有限公司 工程物资部 陈佳伟 0558-2669995 ；报价截至日期：2024年7月22日。</w:t>
      </w:r>
    </w:p>
    <w:p>
      <w:pPr>
        <w:widowControl/>
        <w:jc w:val="left"/>
        <w:rPr>
          <w:rFonts w:hint="eastAsia" w:ascii="仿宋" w:hAnsi="仿宋" w:eastAsia="仿宋"/>
          <w:b/>
          <w:sz w:val="28"/>
        </w:rPr>
      </w:pPr>
      <w:r>
        <w:rPr>
          <w:rFonts w:hint="eastAsia" w:ascii="仿宋" w:hAnsi="仿宋" w:eastAsia="仿宋"/>
          <w:b/>
          <w:sz w:val="28"/>
        </w:rPr>
        <w:t>二、响应单位要求</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响应单位须符合下列要求</w:t>
      </w:r>
      <w:r>
        <w:rPr>
          <w:rFonts w:hint="eastAsia" w:ascii="仿宋" w:hAnsi="仿宋" w:eastAsia="仿宋"/>
          <w:sz w:val="24"/>
        </w:rPr>
        <w:t>，</w:t>
      </w:r>
      <w:r>
        <w:rPr>
          <w:rFonts w:hint="eastAsia" w:ascii="仿宋" w:hAnsi="仿宋" w:eastAsia="仿宋"/>
          <w:kern w:val="0"/>
          <w:sz w:val="24"/>
        </w:rPr>
        <w:t>否则我司有权否决该询价响应。</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一、资格要求</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1.</w:t>
      </w:r>
      <w:r>
        <w:rPr>
          <w:rFonts w:hint="eastAsia"/>
        </w:rPr>
        <w:t xml:space="preserve"> </w:t>
      </w:r>
      <w:r>
        <w:rPr>
          <w:rFonts w:hint="eastAsia" w:ascii="仿宋" w:hAnsi="仿宋" w:eastAsia="仿宋"/>
          <w:kern w:val="0"/>
          <w:sz w:val="24"/>
        </w:rPr>
        <w:t>响应单位为中华人民共和国境内合法注册的独立法人或其他组织，具有独立承担民事责任能力，具有独立订立合同的权利；</w:t>
      </w:r>
    </w:p>
    <w:p>
      <w:pPr>
        <w:spacing w:line="360" w:lineRule="auto"/>
        <w:ind w:firstLine="480" w:firstLineChars="200"/>
        <w:rPr>
          <w:rFonts w:hint="eastAsia" w:ascii="仿宋" w:hAnsi="仿宋" w:eastAsia="仿宋"/>
          <w:kern w:val="0"/>
          <w:sz w:val="24"/>
        </w:rPr>
      </w:pPr>
      <w:r>
        <w:rPr>
          <w:rFonts w:ascii="仿宋" w:hAnsi="仿宋" w:eastAsia="仿宋"/>
          <w:kern w:val="0"/>
          <w:sz w:val="24"/>
        </w:rPr>
        <w:t>2</w:t>
      </w:r>
      <w:r>
        <w:rPr>
          <w:rFonts w:hint="eastAsia" w:ascii="仿宋" w:hAnsi="仿宋" w:eastAsia="仿宋"/>
          <w:kern w:val="0"/>
          <w:sz w:val="24"/>
        </w:rPr>
        <w:t>.</w:t>
      </w:r>
      <w:r>
        <w:rPr>
          <w:rFonts w:hint="eastAsia"/>
        </w:rPr>
        <w:t xml:space="preserve"> </w:t>
      </w:r>
      <w:r>
        <w:rPr>
          <w:rFonts w:hint="eastAsia" w:ascii="仿宋" w:hAnsi="仿宋" w:eastAsia="仿宋"/>
          <w:kern w:val="0"/>
          <w:sz w:val="24"/>
        </w:rPr>
        <w:t>工程咨询单位乙级资信及以上；</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3.具有管道、公路、铁路或其他工程穿越公路安全评估类似业绩；</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4.信用要求：</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（1）响应单位（含联合体响应的成员单位）未被“国家企业信用信息公示系统”列入严重违法失信单（黑名单）信息（提供网站查询界面截图）；</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（2）响应单位（含联合体响应的成员单位）未被“信用中国”列入严重失信主体名单（提供网站查询界面截图）；</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（3）投标人未被招标人或华润燃气集团任何一方列入黑名单。</w:t>
      </w:r>
    </w:p>
    <w:p>
      <w:pPr>
        <w:spacing w:line="360" w:lineRule="auto"/>
        <w:ind w:firstLine="480" w:firstLineChars="200"/>
        <w:rPr>
          <w:rFonts w:hint="eastAsia" w:ascii="仿宋" w:hAnsi="仿宋" w:eastAsia="仿宋"/>
          <w:sz w:val="24"/>
        </w:rPr>
      </w:pPr>
      <w:r>
        <w:rPr>
          <w:rFonts w:hint="eastAsia" w:ascii="仿宋" w:hAnsi="仿宋" w:eastAsia="仿宋"/>
          <w:kern w:val="0"/>
          <w:sz w:val="24"/>
        </w:rPr>
        <w:t>二、</w:t>
      </w:r>
      <w:r>
        <w:rPr>
          <w:rFonts w:hint="eastAsia" w:ascii="仿宋" w:hAnsi="仿宋" w:eastAsia="仿宋"/>
          <w:sz w:val="24"/>
        </w:rPr>
        <w:t>响应单位间不得具有下列关系之一：</w:t>
      </w:r>
    </w:p>
    <w:p>
      <w:pPr>
        <w:spacing w:line="360" w:lineRule="auto"/>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 xml:space="preserve">单位负责人为同一人。 </w:t>
      </w:r>
    </w:p>
    <w:p>
      <w:pPr>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 xml:space="preserve">单位之间存在控股、管理关系，如母子公司。 </w:t>
      </w:r>
    </w:p>
    <w:p>
      <w:pPr>
        <w:spacing w:line="360" w:lineRule="auto"/>
        <w:ind w:firstLine="480" w:firstLineChars="200"/>
        <w:rPr>
          <w:rFonts w:hint="eastAsia" w:ascii="仿宋" w:hAnsi="仿宋" w:eastAsia="仿宋"/>
          <w:sz w:val="24"/>
        </w:rPr>
      </w:pPr>
      <w:r>
        <w:rPr>
          <w:rFonts w:ascii="仿宋" w:hAnsi="仿宋" w:eastAsia="仿宋"/>
          <w:sz w:val="24"/>
        </w:rPr>
        <w:t>3.</w:t>
      </w:r>
      <w:r>
        <w:rPr>
          <w:rFonts w:hint="eastAsia" w:ascii="仿宋" w:hAnsi="仿宋" w:eastAsia="仿宋"/>
          <w:sz w:val="24"/>
        </w:rPr>
        <w:t xml:space="preserve">一方直接或间接持有另一方的股份总和达到25%以上，或者双方直接或间接同为第三方所持有的股份达到25%以上。 </w:t>
      </w:r>
    </w:p>
    <w:p>
      <w:pPr>
        <w:spacing w:line="360" w:lineRule="auto"/>
        <w:ind w:firstLine="480" w:firstLineChars="200"/>
        <w:rPr>
          <w:rFonts w:hint="eastAsia" w:ascii="仿宋" w:hAnsi="仿宋" w:eastAsia="仿宋"/>
          <w:sz w:val="24"/>
        </w:rPr>
      </w:pPr>
      <w:r>
        <w:rPr>
          <w:rFonts w:hint="eastAsia" w:ascii="仿宋" w:hAnsi="仿宋" w:eastAsia="仿宋"/>
          <w:sz w:val="24"/>
        </w:rPr>
        <w:t>如果一方通过中间方对另一方间接持有股份，只要一方对中间方持股比例达到25%以上，则一方对另一方的持股比例按照中间方对另一方的持股比例计算。</w:t>
      </w:r>
    </w:p>
    <w:p>
      <w:pPr>
        <w:spacing w:line="360" w:lineRule="auto"/>
        <w:ind w:firstLine="480" w:firstLineChars="200"/>
        <w:rPr>
          <w:rFonts w:hint="eastAsia" w:ascii="仿宋" w:hAnsi="仿宋" w:eastAsia="仿宋"/>
          <w:sz w:val="24"/>
        </w:rPr>
      </w:pPr>
      <w:r>
        <w:rPr>
          <w:rFonts w:ascii="仿宋" w:hAnsi="仿宋" w:eastAsia="仿宋"/>
          <w:sz w:val="24"/>
        </w:rPr>
        <w:t>4.</w:t>
      </w:r>
      <w:r>
        <w:rPr>
          <w:rFonts w:hint="eastAsia" w:ascii="仿宋" w:hAnsi="仿宋" w:eastAsia="仿宋"/>
          <w:sz w:val="24"/>
        </w:rPr>
        <w:t xml:space="preserve">双方在实质上具有其他共同利益的如下情形：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a.双方之间有相同自然人股东的；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b.双方同时直接持有第三方公司股份的；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c.一方自然人股东在另一方担任董事、监事或高级管理人员的；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d.双方之间有相同董事、监事或高级管理人员的。 </w:t>
      </w:r>
    </w:p>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以上关系查询，以公共一般可查询方式等网站（如：天眼查、启信宝等）核查工商系统注册登记信息为准。</w:t>
      </w:r>
    </w:p>
    <w:p>
      <w:pPr>
        <w:spacing w:line="360" w:lineRule="auto"/>
        <w:ind w:firstLine="480" w:firstLineChars="200"/>
        <w:rPr>
          <w:rFonts w:hint="eastAsia" w:ascii="仿宋" w:hAnsi="仿宋" w:eastAsia="仿宋"/>
          <w:kern w:val="0"/>
          <w:sz w:val="24"/>
          <w:highlight w:val="none"/>
        </w:rPr>
      </w:pPr>
      <w:bookmarkStart w:id="4" w:name="_GoBack"/>
      <w:r>
        <w:rPr>
          <w:rFonts w:hint="eastAsia" w:ascii="仿宋" w:hAnsi="仿宋" w:eastAsia="仿宋"/>
          <w:kern w:val="0"/>
          <w:sz w:val="24"/>
          <w:highlight w:val="none"/>
        </w:rPr>
        <w:t>三.其他要求：</w:t>
      </w:r>
    </w:p>
    <w:bookmarkEnd w:id="4"/>
    <w:p>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1</w:t>
      </w:r>
      <w:r>
        <w:rPr>
          <w:rFonts w:ascii="仿宋" w:hAnsi="仿宋" w:eastAsia="仿宋"/>
          <w:kern w:val="0"/>
          <w:sz w:val="24"/>
        </w:rPr>
        <w:t>.</w:t>
      </w:r>
      <w:r>
        <w:rPr>
          <w:rFonts w:hint="eastAsia" w:ascii="仿宋" w:hAnsi="仿宋" w:eastAsia="仿宋"/>
          <w:kern w:val="0"/>
          <w:sz w:val="24"/>
        </w:rPr>
        <w:t>供应商在采购活动中出现失信行为的，将按照华润燃气相关管理办法执行，详见《附件：供应商失信行为处置标准》。</w:t>
      </w:r>
    </w:p>
    <w:p>
      <w:pPr>
        <w:spacing w:line="360" w:lineRule="auto"/>
        <w:ind w:firstLine="480" w:firstLineChars="200"/>
        <w:rPr>
          <w:rFonts w:hint="eastAsia" w:ascii="仿宋" w:hAnsi="仿宋" w:eastAsia="仿宋"/>
          <w:kern w:val="0"/>
          <w:sz w:val="24"/>
          <w:highlight w:val="yellow"/>
        </w:rPr>
      </w:pPr>
      <w:r>
        <w:rPr>
          <w:rFonts w:hint="eastAsia" w:ascii="仿宋" w:hAnsi="仿宋" w:eastAsia="仿宋"/>
          <w:kern w:val="0"/>
          <w:sz w:val="24"/>
        </w:rPr>
        <w:t>2</w:t>
      </w:r>
      <w:r>
        <w:rPr>
          <w:rFonts w:ascii="仿宋" w:hAnsi="仿宋" w:eastAsia="仿宋"/>
          <w:kern w:val="0"/>
          <w:sz w:val="24"/>
        </w:rPr>
        <w:t>.</w:t>
      </w:r>
      <w:r>
        <w:rPr>
          <w:rFonts w:hint="eastAsia"/>
        </w:rPr>
        <w:t xml:space="preserve"> </w:t>
      </w:r>
      <w:r>
        <w:rPr>
          <w:rFonts w:hint="eastAsia" w:ascii="仿宋" w:hAnsi="仿宋" w:eastAsia="仿宋"/>
          <w:kern w:val="0"/>
          <w:sz w:val="24"/>
        </w:rPr>
        <w:t>在合同期内，投标单位一旦被全国企业信用信息公示系统列入严重违法失信企业名单；或被“信用中国”网站列入失信被执行人名单；或被华润燃气集团列入黑名单的，招标人有权终止合同。</w:t>
      </w:r>
    </w:p>
    <w:p>
      <w:pPr>
        <w:pStyle w:val="12"/>
        <w:adjustRightInd w:val="0"/>
        <w:snapToGrid w:val="0"/>
        <w:spacing w:line="360" w:lineRule="auto"/>
        <w:rPr>
          <w:rFonts w:hint="eastAsia" w:ascii="仿宋" w:hAnsi="仿宋" w:eastAsia="仿宋" w:cs="Times New Roman"/>
          <w:color w:val="auto"/>
          <w:sz w:val="24"/>
          <w:szCs w:val="24"/>
        </w:rPr>
      </w:pPr>
      <w:r>
        <w:rPr>
          <w:rFonts w:ascii="仿宋" w:hAnsi="仿宋" w:eastAsia="仿宋"/>
          <w:color w:val="auto"/>
          <w:sz w:val="28"/>
          <w:szCs w:val="28"/>
        </w:rPr>
        <w:t xml:space="preserve">  </w:t>
      </w:r>
      <w:bookmarkStart w:id="2" w:name="_Toc147758822"/>
      <w:bookmarkStart w:id="3" w:name="_Toc21389"/>
      <w:r>
        <w:rPr>
          <w:rFonts w:hint="eastAsia" w:ascii="仿宋" w:hAnsi="仿宋" w:eastAsia="仿宋" w:cs="Times New Roman"/>
          <w:color w:val="auto"/>
          <w:sz w:val="24"/>
          <w:szCs w:val="24"/>
        </w:rPr>
        <w:t>附件：供应商失信行为处置标准</w:t>
      </w:r>
      <w:bookmarkEnd w:id="2"/>
      <w:bookmarkEnd w:id="3"/>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对考核评价得分8</w:t>
      </w:r>
      <w:r>
        <w:rPr>
          <w:rFonts w:ascii="仿宋" w:hAnsi="仿宋" w:eastAsia="仿宋"/>
          <w:sz w:val="28"/>
          <w:szCs w:val="30"/>
        </w:rPr>
        <w:t>5</w:t>
      </w:r>
      <w:r>
        <w:rPr>
          <w:rFonts w:hint="eastAsia" w:ascii="仿宋" w:hAnsi="仿宋" w:eastAsia="仿宋"/>
          <w:sz w:val="28"/>
          <w:szCs w:val="30"/>
        </w:rPr>
        <w:t>分以下，以及存在失信行为的供应商的处置，可参照以下标准。</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供应商处置分为“警告”、“暂停合作”、“停止合作”三种形式。被“警告”处置的列入“重点关注名单”，被“暂停合作”处置的列入“黑名单”，被“停止合作”处置的列入“永久黑名单”。</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一、“警告”处置是指对日常考核评价基本合格但分数较低，或违反采购和合同相关规定，情节轻微、未给企业造成实质损失的供应商，由区域公司负责提出警告并通知供应商及时完成整改。整改期限原则上不超过3个月。</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被“警告”处置的供应商，已完成整改要求，经区域公司采购委员会审批通过的，解除“警告”处置。</w:t>
      </w:r>
    </w:p>
    <w:p>
      <w:pPr>
        <w:adjustRightInd w:val="0"/>
        <w:snapToGrid w:val="0"/>
        <w:spacing w:line="600" w:lineRule="exact"/>
        <w:ind w:firstLine="562" w:firstLineChars="200"/>
        <w:rPr>
          <w:rFonts w:hint="eastAsia" w:ascii="仿宋" w:hAnsi="仿宋" w:eastAsia="仿宋"/>
          <w:b/>
          <w:bCs/>
          <w:sz w:val="28"/>
          <w:szCs w:val="30"/>
        </w:rPr>
      </w:pPr>
      <w:r>
        <w:rPr>
          <w:rFonts w:hint="eastAsia" w:ascii="仿宋" w:hAnsi="仿宋" w:eastAsia="仿宋"/>
          <w:b/>
          <w:bCs/>
          <w:sz w:val="28"/>
          <w:szCs w:val="30"/>
        </w:rPr>
        <w:t>二、“暂停合作”处置是指暂停供应商在本公司的合格投标人/报价人/合同供应商资格。依据供应商失信行为性质的严重程度，“暂停合作”期限设为</w:t>
      </w:r>
      <w:r>
        <w:rPr>
          <w:rFonts w:ascii="仿宋" w:hAnsi="仿宋" w:eastAsia="仿宋"/>
          <w:b/>
          <w:bCs/>
          <w:sz w:val="28"/>
          <w:szCs w:val="30"/>
        </w:rPr>
        <w:t>1</w:t>
      </w:r>
      <w:r>
        <w:rPr>
          <w:rFonts w:hint="eastAsia" w:ascii="仿宋" w:hAnsi="仿宋" w:eastAsia="仿宋"/>
          <w:b/>
          <w:bCs/>
          <w:sz w:val="28"/>
          <w:szCs w:val="30"/>
        </w:rPr>
        <w:t>年、</w:t>
      </w:r>
      <w:r>
        <w:rPr>
          <w:rFonts w:ascii="仿宋" w:hAnsi="仿宋" w:eastAsia="仿宋"/>
          <w:b/>
          <w:bCs/>
          <w:sz w:val="28"/>
          <w:szCs w:val="30"/>
        </w:rPr>
        <w:t>2</w:t>
      </w:r>
      <w:r>
        <w:rPr>
          <w:rFonts w:hint="eastAsia" w:ascii="仿宋" w:hAnsi="仿宋" w:eastAsia="仿宋"/>
          <w:b/>
          <w:bCs/>
          <w:sz w:val="28"/>
          <w:szCs w:val="30"/>
        </w:rPr>
        <w:t>年、3-5年。</w:t>
      </w:r>
    </w:p>
    <w:p>
      <w:pPr>
        <w:adjustRightInd w:val="0"/>
        <w:snapToGrid w:val="0"/>
        <w:spacing w:line="600" w:lineRule="exact"/>
        <w:ind w:firstLine="562" w:firstLineChars="200"/>
        <w:rPr>
          <w:rFonts w:hint="eastAsia" w:ascii="仿宋" w:hAnsi="仿宋" w:eastAsia="仿宋"/>
          <w:b/>
          <w:sz w:val="28"/>
          <w:szCs w:val="30"/>
        </w:rPr>
      </w:pPr>
      <w:r>
        <w:rPr>
          <w:rFonts w:hint="eastAsia" w:ascii="仿宋" w:hAnsi="仿宋" w:eastAsia="仿宋"/>
          <w:b/>
          <w:sz w:val="28"/>
          <w:szCs w:val="30"/>
        </w:rPr>
        <w:t>（一）对有下列情形之一的供应商，给予“暂停合作”1年处置：</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1.不能按招标文件、投标文件或合同约定完成相关事项，给公司造成损失，影响生产建设的；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2.不按合同约定配合监造/监理人员工作，未按要求解决的；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3.未经业主同意擅自将中标项目分包的；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4.未经业主同意擅自更换合同约定或采购文件承诺的原材料、零部件，影响生产建设的；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5.开标之后由于供应商原因放弃投标/报价,或者无正当理由放弃中标/成交或拒签合同的；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6.考评得分＜6</w:t>
      </w:r>
      <w:r>
        <w:rPr>
          <w:rFonts w:ascii="仿宋" w:hAnsi="仿宋" w:eastAsia="仿宋"/>
          <w:sz w:val="28"/>
          <w:szCs w:val="30"/>
        </w:rPr>
        <w:t>0</w:t>
      </w:r>
      <w:r>
        <w:rPr>
          <w:rFonts w:hint="eastAsia" w:ascii="仿宋" w:hAnsi="仿宋" w:eastAsia="仿宋"/>
          <w:sz w:val="28"/>
          <w:szCs w:val="30"/>
        </w:rPr>
        <w:t>分的。</w:t>
      </w:r>
    </w:p>
    <w:p>
      <w:pPr>
        <w:adjustRightInd w:val="0"/>
        <w:snapToGrid w:val="0"/>
        <w:spacing w:line="600" w:lineRule="exact"/>
        <w:ind w:firstLine="562" w:firstLineChars="200"/>
        <w:rPr>
          <w:rFonts w:hint="eastAsia" w:ascii="仿宋" w:hAnsi="仿宋" w:eastAsia="仿宋"/>
          <w:b/>
          <w:sz w:val="28"/>
          <w:szCs w:val="30"/>
        </w:rPr>
      </w:pPr>
      <w:r>
        <w:rPr>
          <w:rFonts w:hint="eastAsia" w:ascii="仿宋" w:hAnsi="仿宋" w:eastAsia="仿宋"/>
          <w:b/>
          <w:sz w:val="28"/>
          <w:szCs w:val="30"/>
        </w:rPr>
        <w:t>（二）对有下列情形之一的供应商，给予“暂停合作”2年处置：</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1.在采购活动期间以非正常渠道接触采购人、采购代理机构、评标及评审专家等人员，获取相关信息，干扰正常采购的；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2.未按约定提交履约保证金或索取额外费用等失信行为，影响生产建设的；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3.违反投标承诺或合同约定提高价格、降低质量、拖延工期，影响生产建设的；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4.在质保期内其产品或服务出现质量问题，未按合同约定及时进行处理，影响安全稳定运行的；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5.降低产品标准、偷工减料，或在生产制造过程中使用伪劣原材料、零部件以次充好，影响现场使用的；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6.在参与采购活动过程中，存在商业贿赂、恶意诽谤、诬告或陷害其他竞争对手的；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7.警告处置整改期限内拒不整改的。</w:t>
      </w:r>
    </w:p>
    <w:p>
      <w:pPr>
        <w:adjustRightInd w:val="0"/>
        <w:snapToGrid w:val="0"/>
        <w:spacing w:line="600" w:lineRule="exact"/>
        <w:ind w:firstLine="562" w:firstLineChars="200"/>
        <w:rPr>
          <w:rFonts w:hint="eastAsia" w:ascii="仿宋" w:hAnsi="仿宋" w:eastAsia="仿宋"/>
          <w:b/>
          <w:sz w:val="28"/>
          <w:szCs w:val="30"/>
        </w:rPr>
      </w:pPr>
      <w:r>
        <w:rPr>
          <w:rFonts w:hint="eastAsia" w:ascii="仿宋" w:hAnsi="仿宋" w:eastAsia="仿宋"/>
          <w:b/>
          <w:sz w:val="28"/>
          <w:szCs w:val="30"/>
        </w:rPr>
        <w:t>（三）对有下列情形之一的供应商，给予“暂停合作”3-5年处置：</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1.参与采购活动过程中提供虚假的营业执照、资质证书，非法以他人名义投标或借用他人资质投标的；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2.在采购活动过程中串通投标、围标，破坏公平竞争的；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3.提供假冒伪劣产品，伪造施工、货物或服务等检验、试验合格证明的；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4.在合同签订后，由于供应商自身原因拒绝履行合同义务,单方面擅自终止合同，或将中标项目违法分包/转包；</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5.年度考核评价结果累计2次为不合格；</w:t>
      </w:r>
    </w:p>
    <w:p>
      <w:pPr>
        <w:adjustRightInd w:val="0"/>
        <w:snapToGrid w:val="0"/>
        <w:spacing w:line="600" w:lineRule="exact"/>
        <w:ind w:firstLine="560" w:firstLineChars="200"/>
        <w:rPr>
          <w:rFonts w:hint="eastAsia" w:ascii="仿宋" w:hAnsi="仿宋" w:eastAsia="仿宋" w:cs="仿宋"/>
          <w:sz w:val="28"/>
          <w:szCs w:val="30"/>
        </w:rPr>
      </w:pPr>
      <w:r>
        <w:rPr>
          <w:rFonts w:ascii="仿宋" w:hAnsi="仿宋" w:eastAsia="仿宋"/>
          <w:sz w:val="28"/>
          <w:szCs w:val="30"/>
        </w:rPr>
        <w:t>6.</w:t>
      </w:r>
      <w:r>
        <w:rPr>
          <w:rFonts w:hint="eastAsia" w:ascii="仿宋" w:hAnsi="仿宋" w:eastAsia="仿宋" w:cs="仿宋"/>
          <w:sz w:val="28"/>
          <w:szCs w:val="30"/>
        </w:rPr>
        <w:t>符合《华润燃气控股有限公司相关方安全管理制度》黑名单管理情形的；</w:t>
      </w:r>
    </w:p>
    <w:p>
      <w:pPr>
        <w:adjustRightInd w:val="0"/>
        <w:snapToGrid w:val="0"/>
        <w:spacing w:line="600" w:lineRule="exact"/>
        <w:ind w:firstLine="560" w:firstLineChars="200"/>
        <w:rPr>
          <w:rFonts w:hint="eastAsia" w:ascii="仿宋" w:hAnsi="仿宋" w:eastAsia="仿宋"/>
          <w:sz w:val="28"/>
          <w:szCs w:val="30"/>
        </w:rPr>
      </w:pPr>
      <w:r>
        <w:rPr>
          <w:rFonts w:ascii="仿宋" w:hAnsi="仿宋" w:eastAsia="仿宋"/>
          <w:sz w:val="28"/>
          <w:szCs w:val="30"/>
        </w:rPr>
        <w:t>7</w:t>
      </w:r>
      <w:r>
        <w:rPr>
          <w:rFonts w:hint="eastAsia" w:ascii="仿宋" w:hAnsi="仿宋" w:eastAsia="仿宋"/>
          <w:sz w:val="28"/>
          <w:szCs w:val="30"/>
        </w:rPr>
        <w:t>.华润燃气认定的其他违规行为或条件的。</w:t>
      </w:r>
    </w:p>
    <w:p>
      <w:pPr>
        <w:adjustRightInd w:val="0"/>
        <w:snapToGrid w:val="0"/>
        <w:spacing w:line="600" w:lineRule="exact"/>
        <w:ind w:firstLine="562" w:firstLineChars="200"/>
        <w:rPr>
          <w:rFonts w:hint="eastAsia" w:ascii="仿宋" w:hAnsi="仿宋" w:eastAsia="仿宋"/>
          <w:b/>
          <w:bCs/>
          <w:sz w:val="28"/>
          <w:szCs w:val="30"/>
        </w:rPr>
      </w:pPr>
      <w:r>
        <w:rPr>
          <w:rFonts w:hint="eastAsia" w:ascii="仿宋" w:hAnsi="仿宋" w:eastAsia="仿宋"/>
          <w:b/>
          <w:bCs/>
          <w:sz w:val="28"/>
          <w:szCs w:val="30"/>
        </w:rPr>
        <w:t>三、“停止合作”处置是指停止供应商在本公司的合格投标人/报价人/合同供应商资格。对有下列情形之一的供应商，给予“停止合作”处置：</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（一）供应商在合同履约过程中，因生产环境严重劣化、破产等原因不再具备履约能力的；</w:t>
      </w:r>
    </w:p>
    <w:p>
      <w:pPr>
        <w:adjustRightInd w:val="0"/>
        <w:snapToGrid w:val="0"/>
        <w:spacing w:line="600" w:lineRule="exact"/>
        <w:ind w:firstLine="560" w:firstLineChars="200"/>
        <w:rPr>
          <w:rFonts w:hint="eastAsia" w:ascii="仿宋" w:hAnsi="仿宋" w:eastAsia="仿宋" w:cs="仿宋"/>
          <w:sz w:val="28"/>
          <w:szCs w:val="30"/>
        </w:rPr>
      </w:pPr>
      <w:r>
        <w:rPr>
          <w:rFonts w:hint="eastAsia" w:ascii="仿宋" w:hAnsi="仿宋" w:eastAsia="仿宋"/>
          <w:sz w:val="28"/>
          <w:szCs w:val="30"/>
        </w:rPr>
        <w:t>（二）法院判决书认定供应商为谋取不正当利益，向招标采购活动的招标人</w:t>
      </w:r>
      <w:r>
        <w:rPr>
          <w:rFonts w:hint="eastAsia" w:ascii="仿宋" w:hAnsi="仿宋" w:eastAsia="仿宋" w:cs="仿宋"/>
          <w:sz w:val="28"/>
          <w:szCs w:val="30"/>
        </w:rPr>
        <w:t>、评标委员会、招标代理机构等相关人员行贿的；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cs="仿宋"/>
          <w:sz w:val="28"/>
          <w:szCs w:val="30"/>
        </w:rPr>
        <w:t>（三）符合《华润燃气控股有限公司相关方安全管理制度》认定永久列入华润燃气黑名单情形的。</w:t>
      </w:r>
    </w:p>
    <w:p>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四、凡被国家相关部门认定为有严重失信行为的供应商，按列入“黑名单”处置，暂停其参与采购活动资格，直至供应商信用记录恢复正常为止。</w:t>
      </w:r>
    </w:p>
    <w:bookmarkEnd w:id="0"/>
    <w:p>
      <w:pPr>
        <w:widowControl/>
        <w:jc w:val="left"/>
        <w:rPr>
          <w:rFonts w:hint="eastAsia" w:ascii="仿宋" w:hAnsi="仿宋" w:eastAsia="仿宋" w:cs="仿宋"/>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657570274804810NR"/>
    <w:docVar w:name="aztPrintName" w:val="000000ESAOAPRINT"/>
    <w:docVar w:name="aztPrintType" w:val="2"/>
    <w:docVar w:name="commondata" w:val="eyJoZGlkIjoiYWQ4ZjcwZDQzZjA3ZjhiODg1MTRlZWQ1ZTE0NTk3NjgifQ=="/>
  </w:docVars>
  <w:rsids>
    <w:rsidRoot w:val="00411BC4"/>
    <w:rsid w:val="0004389A"/>
    <w:rsid w:val="0005082D"/>
    <w:rsid w:val="000B0A62"/>
    <w:rsid w:val="000F42BA"/>
    <w:rsid w:val="0010476B"/>
    <w:rsid w:val="00162606"/>
    <w:rsid w:val="00175786"/>
    <w:rsid w:val="001B231C"/>
    <w:rsid w:val="002E1D7A"/>
    <w:rsid w:val="00351273"/>
    <w:rsid w:val="00391AFF"/>
    <w:rsid w:val="00411BC4"/>
    <w:rsid w:val="004D2D57"/>
    <w:rsid w:val="005033F9"/>
    <w:rsid w:val="0051377A"/>
    <w:rsid w:val="005A04B4"/>
    <w:rsid w:val="00622C44"/>
    <w:rsid w:val="006D2CB3"/>
    <w:rsid w:val="006F71FD"/>
    <w:rsid w:val="00797D9B"/>
    <w:rsid w:val="007D1F87"/>
    <w:rsid w:val="007D5A51"/>
    <w:rsid w:val="007E570F"/>
    <w:rsid w:val="008030E5"/>
    <w:rsid w:val="00815A82"/>
    <w:rsid w:val="0087273D"/>
    <w:rsid w:val="00875225"/>
    <w:rsid w:val="00892AFC"/>
    <w:rsid w:val="00916793"/>
    <w:rsid w:val="00971EFF"/>
    <w:rsid w:val="009D6DD4"/>
    <w:rsid w:val="00A246F5"/>
    <w:rsid w:val="00A640EB"/>
    <w:rsid w:val="00AA14C9"/>
    <w:rsid w:val="00AE1200"/>
    <w:rsid w:val="00AE64E3"/>
    <w:rsid w:val="00AE7637"/>
    <w:rsid w:val="00B809A9"/>
    <w:rsid w:val="00BF40FF"/>
    <w:rsid w:val="00C45A74"/>
    <w:rsid w:val="00C938D8"/>
    <w:rsid w:val="00CB451E"/>
    <w:rsid w:val="00CB6D8D"/>
    <w:rsid w:val="00D23F81"/>
    <w:rsid w:val="00E21851"/>
    <w:rsid w:val="00E3026A"/>
    <w:rsid w:val="00E34110"/>
    <w:rsid w:val="00EF3247"/>
    <w:rsid w:val="00EF43D2"/>
    <w:rsid w:val="00F14379"/>
    <w:rsid w:val="00F4524A"/>
    <w:rsid w:val="00FF2D29"/>
    <w:rsid w:val="15D52F4A"/>
    <w:rsid w:val="1DB47078"/>
    <w:rsid w:val="234061BE"/>
    <w:rsid w:val="66B410E7"/>
    <w:rsid w:val="7DFF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0"/>
    <w:pPr>
      <w:ind w:firstLine="420" w:firstLineChars="200"/>
    </w:pPr>
  </w:style>
  <w:style w:type="character" w:customStyle="1" w:styleId="9">
    <w:name w:val="标题 1 字符"/>
    <w:basedOn w:val="6"/>
    <w:link w:val="2"/>
    <w:qFormat/>
    <w:uiPriority w:val="9"/>
    <w:rPr>
      <w:rFonts w:ascii="Times New Roman" w:hAnsi="Times New Roman" w:eastAsia="宋体" w:cs="Times New Roman"/>
      <w:b/>
      <w:bCs/>
      <w:kern w:val="44"/>
      <w:sz w:val="44"/>
      <w:szCs w:val="44"/>
    </w:rPr>
  </w:style>
  <w:style w:type="character" w:customStyle="1" w:styleId="10">
    <w:name w:val="页眉 字符"/>
    <w:basedOn w:val="6"/>
    <w:link w:val="4"/>
    <w:qFormat/>
    <w:uiPriority w:val="99"/>
    <w:rPr>
      <w:rFonts w:ascii="Times New Roman" w:hAnsi="Times New Roman" w:eastAsia="宋体" w:cs="Times New Roman"/>
      <w:sz w:val="18"/>
      <w:szCs w:val="18"/>
    </w:rPr>
  </w:style>
  <w:style w:type="character" w:customStyle="1" w:styleId="11">
    <w:name w:val="页脚 字符"/>
    <w:basedOn w:val="6"/>
    <w:link w:val="3"/>
    <w:qFormat/>
    <w:uiPriority w:val="99"/>
    <w:rPr>
      <w:rFonts w:ascii="Times New Roman" w:hAnsi="Times New Roman" w:eastAsia="宋体" w:cs="Times New Roman"/>
      <w:sz w:val="18"/>
      <w:szCs w:val="18"/>
    </w:rPr>
  </w:style>
  <w:style w:type="paragraph" w:customStyle="1" w:styleId="1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AFEA3-9295-4C85-B67B-C966E2BAA14A}">
  <ds:schemaRefs/>
</ds:datastoreItem>
</file>

<file path=docProps/app.xml><?xml version="1.0" encoding="utf-8"?>
<Properties xmlns="http://schemas.openxmlformats.org/officeDocument/2006/extended-properties" xmlns:vt="http://schemas.openxmlformats.org/officeDocument/2006/docPropsVTypes">
  <Template>Normal</Template>
  <Pages>9</Pages>
  <Words>3309</Words>
  <Characters>3379</Characters>
  <Lines>25</Lines>
  <Paragraphs>7</Paragraphs>
  <TotalTime>52</TotalTime>
  <ScaleCrop>false</ScaleCrop>
  <LinksUpToDate>false</LinksUpToDate>
  <CharactersWithSpaces>3421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2024-07-17T02:06:00Z</dcterms:created>
  <dc:creator>张桐126</dc:creator>
  <cp:lastModifiedBy>张甜甜6</cp:lastModifiedBy>
  <dcterms:modified xsi:type="dcterms:W3CDTF">2024-07-19T01:01:22Z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23BD446AA1024AB1B525262F9DFEA2CC_12</vt:lpwstr>
  </property>
</Properties>
</file>